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lang w:eastAsia="zh-CN"/>
        </w:rPr>
      </w:pPr>
    </w:p>
    <w:p>
      <w:pPr>
        <w:rPr>
          <w:rFonts w:hint="eastAsia"/>
          <w:b/>
          <w:bCs/>
          <w:lang w:eastAsia="zh-CN"/>
        </w:rPr>
      </w:pPr>
    </w:p>
    <w:p>
      <w:pPr>
        <w:ind w:firstLine="843" w:firstLineChars="400"/>
      </w:pPr>
      <w:r>
        <w:rPr>
          <w:rFonts w:hint="eastAsia"/>
          <w:b/>
          <w:bCs/>
          <w:lang w:eastAsia="zh-CN"/>
        </w:rPr>
        <w:t>附件</w:t>
      </w:r>
      <w:r>
        <w:rPr>
          <w:rFonts w:hint="eastAsia"/>
          <w:b/>
          <w:bCs/>
          <w:lang w:val="en-US" w:eastAsia="zh-CN"/>
        </w:rPr>
        <w:t>**</w:t>
      </w:r>
      <w:r>
        <w:rPr>
          <w:rFonts w:hint="eastAsia"/>
          <w:b/>
          <w:bCs/>
          <w:lang w:eastAsia="zh-CN"/>
        </w:rPr>
        <w:t>：农学院分子育种实验室设备；预算金额</w:t>
      </w:r>
      <w:bookmarkStart w:id="0" w:name="_GoBack"/>
      <w:r>
        <w:rPr>
          <w:rFonts w:hint="eastAsia" w:ascii="宋体" w:hAnsi="宋体" w:eastAsia="宋体" w:cs="宋体"/>
          <w:i w:val="0"/>
          <w:color w:val="000000"/>
          <w:kern w:val="0"/>
          <w:sz w:val="20"/>
          <w:szCs w:val="20"/>
          <w:u w:val="none"/>
          <w:lang w:val="en-US" w:eastAsia="zh-CN" w:bidi="ar"/>
        </w:rPr>
        <w:t>99500</w:t>
      </w:r>
      <w:bookmarkEnd w:id="0"/>
      <w:r>
        <w:rPr>
          <w:rFonts w:hint="eastAsia"/>
          <w:b/>
          <w:bCs/>
          <w:lang w:eastAsia="zh-CN"/>
        </w:rPr>
        <w:t>元</w:t>
      </w:r>
    </w:p>
    <w:p/>
    <w:tbl>
      <w:tblPr>
        <w:tblStyle w:val="3"/>
        <w:tblpPr w:leftFromText="180" w:rightFromText="180" w:vertAnchor="text" w:horzAnchor="page" w:tblpX="764" w:tblpY="388"/>
        <w:tblOverlap w:val="never"/>
        <w:tblW w:w="155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53"/>
        <w:gridCol w:w="1145"/>
        <w:gridCol w:w="1683"/>
        <w:gridCol w:w="6401"/>
        <w:gridCol w:w="1121"/>
        <w:gridCol w:w="1318"/>
        <w:gridCol w:w="1522"/>
        <w:gridCol w:w="16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7" w:hRule="atLeast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申购货物名称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6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主要配置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技术参数及商务条款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币种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  （单位）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小计（元）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23" w:hRule="atLeast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光合测定仪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3051D</w:t>
            </w:r>
          </w:p>
        </w:tc>
        <w:tc>
          <w:tcPr>
            <w:tcW w:w="6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CO2 测量范围：0-1000ppm/1-1500ppm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/0-2000ppm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叶室温度测量范围：0-50℃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叶片温度测量范围：0-50℃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湿度测量范围：0-100%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光合有效辐射测量范围：0-2500μmolm ㎡/s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53000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08" w:hRule="atLeast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切片机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轮转式切片机YD-202A</w:t>
            </w:r>
          </w:p>
        </w:tc>
        <w:tc>
          <w:tcPr>
            <w:tcW w:w="6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切片厚度范围：1-25um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切片调节最小分度值：1um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最大切片截面：40×30m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尺寸：335×350×300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方便清洁的密封箱形罩，防止了意外碰撞的灰尘和污染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刀座就前后、横向移动，（便于切片与修片）丝杆行程限位报警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切片计数，有液晶显示切片数量。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（快速冷冻切片、石蜡切片，一机两用）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20" w:hRule="atLeast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药品阴凉柜</w:t>
            </w:r>
          </w:p>
        </w:tc>
        <w:tc>
          <w:tcPr>
            <w:tcW w:w="1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深圳欧雪YLCB-650F2HA</w:t>
            </w:r>
          </w:p>
        </w:tc>
        <w:tc>
          <w:tcPr>
            <w:tcW w:w="6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门类型：双门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外型尺寸：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（L*W*H)(MM)1000*580*2000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容积：650L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温度：0～20℃，具有独特超温报警功能，温度达到20℃以上时会自动启动报警系统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湿度：带湿度显示器，湿度有效控制在35%~75%之间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制冷方式：风冷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标准：符合国家新GSP验证要求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配置：标配6层层架（平板）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7500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7500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47" w:hRule="atLeast"/>
        </w:trPr>
        <w:tc>
          <w:tcPr>
            <w:tcW w:w="7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徕卡显微镜摄像装置</w:t>
            </w:r>
          </w:p>
        </w:tc>
        <w:tc>
          <w:tcPr>
            <w:tcW w:w="168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ICC50W</w:t>
            </w:r>
          </w:p>
        </w:tc>
        <w:tc>
          <w:tcPr>
            <w:tcW w:w="64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1一体化500万像素高清摄像装置，支持实时高清1080i视频输出，集成SD卡槽与USB2.0接口；无需电脑即可直接拍摄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 含专属iPad软件，可用无线连接显示实时图像，实时控制拍摄录像等功能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3配套软件可以控制摄像头参数，管理及调整图像。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4图像采集及分析软件，与显微镜、摄像头为同一品牌厂家，可做自校准，无需标尺，无兼容性风险；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5用户界面及操作方式符合人工学要求。可快速采集图象及大量数据集显示，直观的设定实验条件给快速设置和采集所属通道图象。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6具有测量及多通道图像叠加功能。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7采图、高速图象采集. 完全控制照相机性能如曝光、增益、 binning、黑平衡、白平衡和伽玛值,；可实现图象采集、图象显示和管理，图象视窗在采集中显示及可复览、处理已保存的图像；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8可通过滑动杆作快速地在大量数据集中滚动、查找，实验树结构管理数据如储存、重新命名、拷贝、删除、输出为 tif、avi、jpeg等。实验条件可保存、输出为并使用在另外的实验中应用。 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人民币</w:t>
            </w:r>
          </w:p>
        </w:tc>
        <w:tc>
          <w:tcPr>
            <w:tcW w:w="1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19000</w:t>
            </w:r>
          </w:p>
        </w:tc>
        <w:tc>
          <w:tcPr>
            <w:tcW w:w="15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65" w:hRule="atLeast"/>
        </w:trPr>
        <w:tc>
          <w:tcPr>
            <w:tcW w:w="1394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99500</w:t>
            </w:r>
          </w:p>
        </w:tc>
      </w:tr>
    </w:tbl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</w:p>
    <w:sectPr>
      <w:pgSz w:w="16838" w:h="11906" w:orient="landscape"/>
      <w:pgMar w:top="0" w:right="0" w:bottom="0" w:left="0" w:header="851" w:footer="992" w:gutter="0"/>
      <w:cols w:space="0" w:num="1"/>
      <w:rtlGutter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6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C5522"/>
    <w:rsid w:val="10485C5F"/>
    <w:rsid w:val="18B06EA2"/>
    <w:rsid w:val="190A4EFB"/>
    <w:rsid w:val="27455479"/>
    <w:rsid w:val="2EBB6713"/>
    <w:rsid w:val="32EC5522"/>
    <w:rsid w:val="38EF246B"/>
    <w:rsid w:val="391D708F"/>
    <w:rsid w:val="3DFD283A"/>
    <w:rsid w:val="421933F8"/>
    <w:rsid w:val="63555C80"/>
    <w:rsid w:val="69C13C90"/>
    <w:rsid w:val="774B2CB2"/>
    <w:rsid w:val="7926061A"/>
    <w:rsid w:val="7A06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5">
    <w:name w:val="font1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  <w:style w:type="character" w:customStyle="1" w:styleId="6">
    <w:name w:val="font21"/>
    <w:basedOn w:val="2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31"/>
    <w:basedOn w:val="2"/>
    <w:qFormat/>
    <w:uiPriority w:val="0"/>
    <w:rPr>
      <w:rFonts w:hint="eastAsia" w:ascii="宋体" w:hAnsi="宋体" w:eastAsia="宋体" w:cs="宋体"/>
      <w:b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2018-01-05T03:03:00Z</dcterms:created>
  <dc:creator>chenwenhe</dc:creator>
  <cp:lastModifiedBy>王俊</cp:lastModifiedBy>
  <dcterms:modified xsi:type="dcterms:W3CDTF">2018-12-12T02:56:50Z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